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惠州惠阳大帽山市级森林公园经营范围</w:t>
      </w:r>
    </w:p>
    <w:p>
      <w:pPr>
        <w:spacing w:line="560" w:lineRule="exact"/>
        <w:ind w:firstLine="0" w:firstLineChars="0"/>
        <w:jc w:val="center"/>
        <w:rPr>
          <w:rFonts w:hint="default" w:ascii="Times New Roman" w:hAnsi="Times New Roman" w:eastAsia="方正小标宋_GBK" w:cs="Times New Roman"/>
          <w:sz w:val="44"/>
          <w:szCs w:val="44"/>
          <w:lang w:val="en-US" w:eastAsia="zh-CN"/>
        </w:rPr>
      </w:pPr>
      <w:r>
        <w:rPr>
          <w:rFonts w:hint="eastAsia" w:ascii="方正小标宋_GBK" w:hAnsi="方正小标宋_GBK" w:eastAsia="方正小标宋_GBK" w:cs="方正小标宋_GBK"/>
          <w:sz w:val="44"/>
          <w:szCs w:val="44"/>
          <w:lang w:val="en-US" w:eastAsia="zh-CN"/>
        </w:rPr>
        <w:t>调整</w:t>
      </w:r>
      <w:bookmarkStart w:id="0" w:name="_GoBack"/>
      <w:r>
        <w:rPr>
          <w:rFonts w:hint="eastAsia" w:ascii="方正小标宋_GBK" w:hAnsi="方正小标宋_GBK" w:eastAsia="方正小标宋_GBK" w:cs="方正小标宋_GBK"/>
          <w:sz w:val="44"/>
          <w:szCs w:val="44"/>
          <w:lang w:val="en-US" w:eastAsia="zh-CN"/>
        </w:rPr>
        <w:t>(征求意见稿）</w:t>
      </w:r>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方正大标宋简体" w:cs="Times New Roman"/>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一、调整背景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2"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b/>
          <w:bCs/>
          <w:sz w:val="30"/>
          <w:szCs w:val="30"/>
          <w:lang w:val="en-US" w:eastAsia="zh-CN"/>
        </w:rPr>
        <w:t>粤东送电珠东北输电通道工程</w:t>
      </w:r>
      <w:r>
        <w:rPr>
          <w:rFonts w:hint="default" w:ascii="Times New Roman" w:hAnsi="Times New Roman" w:eastAsia="仿宋" w:cs="Times New Roman"/>
          <w:sz w:val="30"/>
          <w:szCs w:val="30"/>
          <w:lang w:val="en-US" w:eastAsia="zh-CN"/>
        </w:rPr>
        <w:t>是纳入国家能源局“十四五”电力规划输电通道的重点工程（国能综函电力〔2023〕20号），本工程的建设是缓解东莞及惠州地区用电负荷，完善500kV电网结构，提高供电可靠性和电能质量的重要举措，</w:t>
      </w:r>
      <w:r>
        <w:rPr>
          <w:rFonts w:hint="eastAsia" w:eastAsia="仿宋" w:cs="Times New Roman"/>
          <w:sz w:val="30"/>
          <w:szCs w:val="30"/>
          <w:lang w:val="en-US" w:eastAsia="zh-CN"/>
        </w:rPr>
        <w:t>工程</w:t>
      </w:r>
      <w:r>
        <w:rPr>
          <w:rFonts w:hint="default" w:ascii="Times New Roman" w:hAnsi="Times New Roman" w:eastAsia="仿宋" w:cs="Times New Roman"/>
          <w:sz w:val="30"/>
          <w:szCs w:val="30"/>
          <w:lang w:val="en-US" w:eastAsia="zh-CN"/>
        </w:rPr>
        <w:t>已纳入2023年广东省重点建设项目计划（粤发改重点〔2023〕72号）。项目建设</w:t>
      </w:r>
      <w:r>
        <w:rPr>
          <w:rFonts w:hint="eastAsia" w:eastAsia="仿宋" w:cs="Times New Roman"/>
          <w:sz w:val="30"/>
          <w:szCs w:val="30"/>
          <w:lang w:val="en-US" w:eastAsia="zh-CN"/>
        </w:rPr>
        <w:t>是</w:t>
      </w:r>
      <w:r>
        <w:rPr>
          <w:rFonts w:hint="default" w:ascii="Times New Roman" w:hAnsi="Times New Roman" w:eastAsia="仿宋" w:cs="Times New Roman"/>
          <w:sz w:val="30"/>
          <w:szCs w:val="30"/>
          <w:lang w:val="en-US" w:eastAsia="zh-CN"/>
        </w:rPr>
        <w:t>满足东莞市东北区及东南区周边区域电力需求快速增长的需要，对于提升电力安全可靠供应能力，优化珠东北片区网架结构及供需形势，促进能源结构优化进程，助力能源清洁低碳转型具有重大意义。</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二、调整方案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本次调整将粤东送电珠东北输电通道工程在森林公园内塔基永久占地区域调出森林公园范围，调出区域面积共计0.45公顷。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由于粤东送电珠东北输电通道工程同时穿越</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县级自然保护区、惠州惠阳大帽山市级森林公园、惠州惠阳白云嶂市级森林公园和惠州惠阳佛祖坳市级森林公园四个自然保护地，而根据《惠州市自然保护地整合优化方案》，整合优化后，以上三个森林公园将统一归并至</w:t>
      </w:r>
      <w:r>
        <w:rPr>
          <w:rFonts w:hint="eastAsia" w:eastAsia="仿宋" w:cs="Times New Roman"/>
          <w:sz w:val="30"/>
          <w:szCs w:val="30"/>
          <w:lang w:val="en-US" w:eastAsia="zh-CN"/>
        </w:rPr>
        <w:t>广东</w:t>
      </w:r>
      <w:r>
        <w:rPr>
          <w:rFonts w:hint="default" w:ascii="Times New Roman" w:hAnsi="Times New Roman" w:eastAsia="仿宋" w:cs="Times New Roman"/>
          <w:sz w:val="30"/>
          <w:szCs w:val="30"/>
          <w:lang w:val="en-US" w:eastAsia="zh-CN"/>
        </w:rPr>
        <w:t>惠阳白云嶂</w:t>
      </w:r>
      <w:r>
        <w:rPr>
          <w:rFonts w:hint="eastAsia" w:eastAsia="仿宋" w:cs="Times New Roman"/>
          <w:sz w:val="30"/>
          <w:szCs w:val="30"/>
          <w:lang w:val="en-US" w:eastAsia="zh-CN"/>
        </w:rPr>
        <w:t>县级</w:t>
      </w:r>
      <w:r>
        <w:rPr>
          <w:rFonts w:hint="default" w:ascii="Times New Roman" w:hAnsi="Times New Roman" w:eastAsia="仿宋" w:cs="Times New Roman"/>
          <w:sz w:val="30"/>
          <w:szCs w:val="30"/>
          <w:lang w:val="en-US" w:eastAsia="zh-CN"/>
        </w:rPr>
        <w:t>自然保护区。因此，本次因工程调整减少的面积拟统一在白云嶂保护区周边进行异地补划，确保整体占补平衡。拟调入区域与白云嶂保护区西北侧接壤，总面积3.2607公顷，详见附图。</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三、调整结果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30"/>
          <w:szCs w:val="30"/>
          <w:lang w:val="en-US" w:eastAsia="zh-CN"/>
        </w:rPr>
        <w:t>经营范围调整后，惠州</w:t>
      </w:r>
      <w:r>
        <w:rPr>
          <w:rFonts w:hint="eastAsia" w:ascii="Times New Roman" w:hAnsi="Times New Roman" w:eastAsia="仿宋" w:cs="Times New Roman"/>
          <w:sz w:val="30"/>
          <w:szCs w:val="30"/>
          <w:lang w:val="en-US" w:eastAsia="zh-CN"/>
        </w:rPr>
        <w:t>惠阳</w:t>
      </w:r>
      <w:r>
        <w:rPr>
          <w:rFonts w:hint="default" w:ascii="Times New Roman" w:hAnsi="Times New Roman" w:eastAsia="仿宋" w:cs="Times New Roman"/>
          <w:sz w:val="30"/>
          <w:szCs w:val="30"/>
          <w:lang w:val="en-US" w:eastAsia="zh-CN"/>
        </w:rPr>
        <w:t>大帽山市级森林公园面积为1275.33公顷，面积减少0.45公顷，相比减少0.04%。</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jc w:val="both"/>
        <w:textAlignment w:val="auto"/>
        <w:rPr>
          <w:rFonts w:hint="default" w:ascii="Times New Roman" w:hAnsi="Times New Roman" w:eastAsia="仿宋" w:cs="Times New Roman"/>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 w:cs="Times New Roman"/>
          <w:sz w:val="30"/>
          <w:szCs w:val="30"/>
          <w:lang w:val="en-US" w:eastAsia="zh-CN"/>
        </w:rPr>
        <w:sectPr>
          <w:headerReference r:id="rId6" w:type="first"/>
          <w:footerReference r:id="rId8" w:type="first"/>
          <w:headerReference r:id="rId5" w:type="even"/>
          <w:footerReference r:id="rId7" w:type="even"/>
          <w:pgSz w:w="11906" w:h="16838"/>
          <w:pgMar w:top="2154" w:right="1587" w:bottom="2041" w:left="1587" w:header="851" w:footer="992" w:gutter="0"/>
          <w:cols w:space="0" w:num="1"/>
          <w:rtlGutter w:val="0"/>
          <w:docGrid w:type="lines" w:linePitch="332" w:charSpace="0"/>
        </w:sectPr>
      </w:pPr>
      <w:r>
        <w:rPr>
          <w:rFonts w:hint="default" w:ascii="Times New Roman" w:hAnsi="Times New Roman" w:eastAsia="仿宋" w:cs="Times New Roman"/>
          <w:sz w:val="30"/>
          <w:szCs w:val="30"/>
          <w:lang w:val="en-US" w:eastAsia="zh-CN"/>
        </w:rPr>
        <w:t>附图 惠州</w:t>
      </w:r>
      <w:r>
        <w:rPr>
          <w:rFonts w:hint="eastAsia" w:ascii="Times New Roman" w:hAnsi="Times New Roman" w:eastAsia="仿宋" w:cs="Times New Roman"/>
          <w:sz w:val="30"/>
          <w:szCs w:val="30"/>
          <w:lang w:val="en-US" w:eastAsia="zh-CN"/>
        </w:rPr>
        <w:t>惠阳</w:t>
      </w:r>
      <w:r>
        <w:rPr>
          <w:rFonts w:hint="default" w:ascii="Times New Roman" w:hAnsi="Times New Roman" w:eastAsia="仿宋" w:cs="Times New Roman"/>
          <w:sz w:val="30"/>
          <w:szCs w:val="30"/>
          <w:lang w:val="en-US" w:eastAsia="zh-CN"/>
        </w:rPr>
        <w:t>大帽山市级森林公园调整方案示意图</w:t>
      </w:r>
    </w:p>
    <w:p>
      <w:pPr>
        <w:bidi w:val="0"/>
        <w:ind w:left="0" w:leftChars="0" w:firstLine="0" w:firstLineChars="0"/>
        <w:jc w:val="center"/>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10353675" cy="7328535"/>
            <wp:effectExtent l="9525" t="9525" r="12700" b="9525"/>
            <wp:docPr id="1" name="图片 1" descr="C:/Users/ASUS/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SUS/Desktop/2.jpg2"/>
                    <pic:cNvPicPr>
                      <a:picLocks noChangeAspect="1"/>
                    </pic:cNvPicPr>
                  </pic:nvPicPr>
                  <pic:blipFill>
                    <a:blip r:embed="rId10"/>
                    <a:srcRect l="4" r="4"/>
                    <a:stretch>
                      <a:fillRect/>
                    </a:stretch>
                  </pic:blipFill>
                  <pic:spPr>
                    <a:xfrm>
                      <a:off x="0" y="0"/>
                      <a:ext cx="10353675" cy="7328535"/>
                    </a:xfrm>
                    <a:prstGeom prst="rect">
                      <a:avLst/>
                    </a:prstGeom>
                    <a:ln w="3175" cmpd="sng">
                      <a:solidFill>
                        <a:schemeClr val="tx1"/>
                      </a:solidFill>
                      <a:prstDash val="solid"/>
                    </a:ln>
                  </pic:spPr>
                </pic:pic>
              </a:graphicData>
            </a:graphic>
          </wp:inline>
        </w:drawing>
      </w:r>
    </w:p>
    <w:sectPr>
      <w:pgSz w:w="16838" w:h="11906" w:orient="landscape"/>
      <w:pgMar w:top="57" w:right="57" w:bottom="57" w:left="57" w:header="0"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04BC67-0EA4-40E3-B447-45E37A3147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3E46E71-6E28-4CD5-BC2D-2914666685A4}"/>
  </w:font>
  <w:font w:name="仿宋">
    <w:panose1 w:val="02010609060101010101"/>
    <w:charset w:val="86"/>
    <w:family w:val="auto"/>
    <w:pitch w:val="default"/>
    <w:sig w:usb0="800002BF" w:usb1="38CF7CFA" w:usb2="00000016" w:usb3="00000000" w:csb0="00040001" w:csb1="00000000"/>
    <w:embedRegular r:id="rId3" w:fontKey="{CA2CEB9B-04DA-4437-9276-4E93EC2F8C75}"/>
  </w:font>
  <w:font w:name="方正小标宋_GBK">
    <w:panose1 w:val="03000509000000000000"/>
    <w:charset w:val="86"/>
    <w:family w:val="auto"/>
    <w:pitch w:val="default"/>
    <w:sig w:usb0="00000001" w:usb1="080E0000" w:usb2="00000000" w:usb3="00000000" w:csb0="00040000" w:csb1="00000000"/>
    <w:embedRegular r:id="rId4" w:fontKey="{826ECD6C-A1FD-4D0A-9AAC-0BDD7CF9F2AB}"/>
  </w:font>
  <w:font w:name="方正大标宋简体">
    <w:panose1 w:val="02000000000000000000"/>
    <w:charset w:val="86"/>
    <w:family w:val="auto"/>
    <w:pitch w:val="default"/>
    <w:sig w:usb0="A00002BF" w:usb1="184F6CFA" w:usb2="00000012" w:usb3="00000000" w:csb0="00040001" w:csb1="00000000"/>
    <w:embedRegular r:id="rId5" w:fontKey="{DB84E88B-464A-4C7A-B8BF-3EE34B5C68CA}"/>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C43B17"/>
    <w:multiLevelType w:val="multilevel"/>
    <w:tmpl w:val="1AC43B17"/>
    <w:lvl w:ilvl="0" w:tentative="0">
      <w:start w:val="1"/>
      <w:numFmt w:val="chineseCounting"/>
      <w:pStyle w:val="3"/>
      <w:suff w:val="space"/>
      <w:lvlText w:val="第%1章"/>
      <w:lvlJc w:val="left"/>
      <w:pPr>
        <w:tabs>
          <w:tab w:val="left" w:pos="5528"/>
        </w:tabs>
        <w:ind w:left="5960" w:hanging="432"/>
      </w:pPr>
      <w:rPr>
        <w:rFonts w:hint="eastAsia" w:ascii="宋体" w:hAnsi="宋体" w:eastAsia="黑体" w:cs="宋体"/>
        <w:sz w:val="32"/>
        <w:szCs w:val="32"/>
        <w:lang w:val="en-US"/>
      </w:rPr>
    </w:lvl>
    <w:lvl w:ilvl="1" w:tentative="0">
      <w:start w:val="1"/>
      <w:numFmt w:val="decimal"/>
      <w:pStyle w:val="4"/>
      <w:isLgl/>
      <w:suff w:val="space"/>
      <w:lvlText w:val="%1.%2"/>
      <w:lvlJc w:val="left"/>
      <w:pPr>
        <w:tabs>
          <w:tab w:val="left" w:pos="3402"/>
        </w:tabs>
        <w:ind w:left="3977" w:hanging="575"/>
      </w:pPr>
      <w:rPr>
        <w:rFonts w:hint="eastAsia" w:ascii="Times New Roman" w:hAnsi="Times New Roman" w:eastAsia="宋体" w:cs="宋体"/>
      </w:rPr>
    </w:lvl>
    <w:lvl w:ilvl="2" w:tentative="0">
      <w:start w:val="1"/>
      <w:numFmt w:val="decimal"/>
      <w:pStyle w:val="2"/>
      <w:isLgl/>
      <w:suff w:val="space"/>
      <w:lvlText w:val="%1.%2.%3"/>
      <w:lvlJc w:val="left"/>
      <w:pPr>
        <w:tabs>
          <w:tab w:val="left" w:pos="0"/>
        </w:tabs>
        <w:ind w:left="720" w:hanging="720"/>
      </w:pPr>
      <w:rPr>
        <w:rFonts w:hint="eastAsia" w:ascii="仿宋" w:hAnsi="仿宋" w:eastAsia="仿宋" w:cs="仿宋"/>
      </w:rPr>
    </w:lvl>
    <w:lvl w:ilvl="3" w:tentative="0">
      <w:start w:val="1"/>
      <w:numFmt w:val="decimal"/>
      <w:pStyle w:val="5"/>
      <w:isLgl/>
      <w:lvlText w:val="%1.%2.%3.%4."/>
      <w:lvlJc w:val="left"/>
      <w:pPr>
        <w:tabs>
          <w:tab w:val="left" w:pos="-289"/>
        </w:tabs>
        <w:ind w:left="155" w:hanging="864"/>
      </w:pPr>
      <w:rPr>
        <w:rFonts w:hint="eastAsia" w:ascii="宋体" w:hAnsi="宋体" w:eastAsia="宋体" w:cs="宋体"/>
      </w:rPr>
    </w:lvl>
    <w:lvl w:ilvl="4" w:tentative="0">
      <w:start w:val="1"/>
      <w:numFmt w:val="decimal"/>
      <w:pStyle w:val="6"/>
      <w:isLgl/>
      <w:lvlText w:val="%1.%2.%3.%4.%5."/>
      <w:lvlJc w:val="left"/>
      <w:pPr>
        <w:ind w:left="299" w:hanging="1008"/>
      </w:pPr>
      <w:rPr>
        <w:rFonts w:hint="eastAsia"/>
      </w:rPr>
    </w:lvl>
    <w:lvl w:ilvl="5" w:tentative="0">
      <w:start w:val="1"/>
      <w:numFmt w:val="decimal"/>
      <w:pStyle w:val="7"/>
      <w:isLgl/>
      <w:lvlText w:val="%1.%2.%3.%4.%5.%6."/>
      <w:lvlJc w:val="left"/>
      <w:pPr>
        <w:ind w:left="442" w:hanging="1151"/>
      </w:pPr>
      <w:rPr>
        <w:rFonts w:hint="eastAsia"/>
      </w:rPr>
    </w:lvl>
    <w:lvl w:ilvl="6" w:tentative="0">
      <w:start w:val="1"/>
      <w:numFmt w:val="decimal"/>
      <w:pStyle w:val="8"/>
      <w:isLgl/>
      <w:lvlText w:val="%1.%2.%3.%4.%5.%6.%7."/>
      <w:lvlJc w:val="left"/>
      <w:pPr>
        <w:ind w:left="587" w:hanging="1296"/>
      </w:pPr>
      <w:rPr>
        <w:rFonts w:hint="eastAsia"/>
      </w:rPr>
    </w:lvl>
    <w:lvl w:ilvl="7" w:tentative="0">
      <w:start w:val="1"/>
      <w:numFmt w:val="decimal"/>
      <w:pStyle w:val="9"/>
      <w:isLgl/>
      <w:lvlText w:val="%1.%2.%3.%4.%5.%6.%7.%8."/>
      <w:lvlJc w:val="left"/>
      <w:pPr>
        <w:ind w:left="731" w:hanging="1440"/>
      </w:pPr>
      <w:rPr>
        <w:rFonts w:hint="eastAsia"/>
      </w:rPr>
    </w:lvl>
    <w:lvl w:ilvl="8" w:tentative="0">
      <w:start w:val="1"/>
      <w:numFmt w:val="decimal"/>
      <w:pStyle w:val="10"/>
      <w:isLgl/>
      <w:lvlText w:val="%1.%2.%3.%4.%5.%6.%7.%8.%9."/>
      <w:lvlJc w:val="left"/>
      <w:pPr>
        <w:ind w:left="874"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Y_MEDREF_DOCUID" w:val="{4EF473E3-2D7D-4281-9060-E46C6BAABAD1}"/>
    <w:docVar w:name="KY_MEDREF_VERSION" w:val="3"/>
  </w:docVars>
  <w:rsids>
    <w:rsidRoot w:val="76825052"/>
    <w:rsid w:val="04B769D7"/>
    <w:rsid w:val="063A175C"/>
    <w:rsid w:val="07F514DF"/>
    <w:rsid w:val="0817778D"/>
    <w:rsid w:val="08E04023"/>
    <w:rsid w:val="08EB30F3"/>
    <w:rsid w:val="09556CA9"/>
    <w:rsid w:val="0A765A32"/>
    <w:rsid w:val="0D951880"/>
    <w:rsid w:val="0DB53CD0"/>
    <w:rsid w:val="0ECD6DF7"/>
    <w:rsid w:val="0F5D017B"/>
    <w:rsid w:val="11755C50"/>
    <w:rsid w:val="127A1044"/>
    <w:rsid w:val="12E601A3"/>
    <w:rsid w:val="145002AE"/>
    <w:rsid w:val="166E7112"/>
    <w:rsid w:val="19D92AF4"/>
    <w:rsid w:val="1DA20913"/>
    <w:rsid w:val="1EDA5344"/>
    <w:rsid w:val="20286583"/>
    <w:rsid w:val="206F3770"/>
    <w:rsid w:val="209B4FA7"/>
    <w:rsid w:val="2D1C121E"/>
    <w:rsid w:val="2E13617D"/>
    <w:rsid w:val="2E4723B8"/>
    <w:rsid w:val="2FF26266"/>
    <w:rsid w:val="30C47D44"/>
    <w:rsid w:val="31B148E3"/>
    <w:rsid w:val="357C0AAC"/>
    <w:rsid w:val="35C42453"/>
    <w:rsid w:val="37092813"/>
    <w:rsid w:val="38156F95"/>
    <w:rsid w:val="383365EB"/>
    <w:rsid w:val="390F1C37"/>
    <w:rsid w:val="3B9C6D54"/>
    <w:rsid w:val="3F3C12AC"/>
    <w:rsid w:val="42227DDF"/>
    <w:rsid w:val="45BD3146"/>
    <w:rsid w:val="465D2233"/>
    <w:rsid w:val="4ADB7BCB"/>
    <w:rsid w:val="4B46598C"/>
    <w:rsid w:val="4BC863A1"/>
    <w:rsid w:val="4DC25072"/>
    <w:rsid w:val="54273E81"/>
    <w:rsid w:val="5656249F"/>
    <w:rsid w:val="567505D2"/>
    <w:rsid w:val="59345076"/>
    <w:rsid w:val="596B518E"/>
    <w:rsid w:val="5A0F163F"/>
    <w:rsid w:val="5E4915C3"/>
    <w:rsid w:val="607B17DC"/>
    <w:rsid w:val="61AB60F1"/>
    <w:rsid w:val="649B4A3D"/>
    <w:rsid w:val="653B778C"/>
    <w:rsid w:val="65476131"/>
    <w:rsid w:val="65AC2438"/>
    <w:rsid w:val="664A412A"/>
    <w:rsid w:val="679B2764"/>
    <w:rsid w:val="69E55F5D"/>
    <w:rsid w:val="6A266C5C"/>
    <w:rsid w:val="6A3A6C75"/>
    <w:rsid w:val="6AE61F48"/>
    <w:rsid w:val="6BA0659B"/>
    <w:rsid w:val="6F6D0703"/>
    <w:rsid w:val="70DA254F"/>
    <w:rsid w:val="715C2F64"/>
    <w:rsid w:val="76825052"/>
    <w:rsid w:val="76DE441B"/>
    <w:rsid w:val="77AD09BA"/>
    <w:rsid w:val="7C0466D2"/>
    <w:rsid w:val="7C817D22"/>
    <w:rsid w:val="7CAB4750"/>
    <w:rsid w:val="7CCB71F0"/>
    <w:rsid w:val="7E133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numPr>
        <w:ilvl w:val="0"/>
        <w:numId w:val="1"/>
      </w:numPr>
      <w:spacing w:before="100" w:beforeLines="100"/>
      <w:ind w:left="5960" w:hanging="432" w:firstLineChars="0"/>
      <w:jc w:val="center"/>
      <w:outlineLvl w:val="0"/>
    </w:pPr>
    <w:rPr>
      <w:b/>
      <w:kern w:val="44"/>
      <w:sz w:val="36"/>
    </w:rPr>
  </w:style>
  <w:style w:type="paragraph" w:styleId="4">
    <w:name w:val="heading 2"/>
    <w:basedOn w:val="1"/>
    <w:next w:val="1"/>
    <w:link w:val="18"/>
    <w:semiHidden/>
    <w:unhideWhenUsed/>
    <w:qFormat/>
    <w:uiPriority w:val="0"/>
    <w:pPr>
      <w:keepNext/>
      <w:keepLines/>
      <w:numPr>
        <w:ilvl w:val="1"/>
        <w:numId w:val="1"/>
      </w:numPr>
      <w:tabs>
        <w:tab w:val="left" w:pos="0"/>
        <w:tab w:val="left" w:pos="420"/>
        <w:tab w:val="left" w:pos="3119"/>
        <w:tab w:val="left" w:pos="5528"/>
      </w:tabs>
      <w:spacing w:before="50" w:beforeLines="50"/>
      <w:ind w:left="0" w:firstLine="0" w:firstLineChars="0"/>
      <w:jc w:val="left"/>
      <w:outlineLvl w:val="1"/>
    </w:pPr>
    <w:rPr>
      <w:rFonts w:ascii="Times New Roman" w:hAnsi="Times New Roman" w:eastAsia="黑体" w:cstheme="majorBidi"/>
      <w:b/>
      <w:bCs/>
      <w:sz w:val="30"/>
      <w:szCs w:val="32"/>
    </w:rPr>
  </w:style>
  <w:style w:type="paragraph" w:styleId="2">
    <w:name w:val="heading 3"/>
    <w:basedOn w:val="1"/>
    <w:next w:val="1"/>
    <w:link w:val="16"/>
    <w:semiHidden/>
    <w:unhideWhenUsed/>
    <w:qFormat/>
    <w:uiPriority w:val="0"/>
    <w:pPr>
      <w:numPr>
        <w:ilvl w:val="2"/>
        <w:numId w:val="1"/>
      </w:numPr>
      <w:spacing w:before="40" w:after="80"/>
      <w:ind w:left="720" w:hanging="720" w:firstLineChars="0"/>
      <w:outlineLvl w:val="2"/>
    </w:pPr>
    <w:rPr>
      <w:b/>
      <w:sz w:val="28"/>
    </w:rPr>
  </w:style>
  <w:style w:type="paragraph" w:styleId="5">
    <w:name w:val="heading 4"/>
    <w:basedOn w:val="1"/>
    <w:next w:val="1"/>
    <w:semiHidden/>
    <w:unhideWhenUsed/>
    <w:qFormat/>
    <w:uiPriority w:val="0"/>
    <w:pPr>
      <w:numPr>
        <w:ilvl w:val="3"/>
        <w:numId w:val="1"/>
      </w:numPr>
      <w:spacing w:before="160" w:after="40"/>
      <w:ind w:left="155" w:hanging="864" w:firstLineChars="0"/>
      <w:outlineLvl w:val="3"/>
    </w:pPr>
    <w:rPr>
      <w:rFonts w:eastAsia="黑体"/>
      <w:sz w:val="28"/>
    </w:rPr>
  </w:style>
  <w:style w:type="paragraph" w:styleId="6">
    <w:name w:val="heading 5"/>
    <w:basedOn w:val="1"/>
    <w:next w:val="1"/>
    <w:link w:val="17"/>
    <w:semiHidden/>
    <w:unhideWhenUsed/>
    <w:qFormat/>
    <w:uiPriority w:val="0"/>
    <w:pPr>
      <w:numPr>
        <w:ilvl w:val="4"/>
        <w:numId w:val="1"/>
      </w:numPr>
      <w:ind w:left="299" w:hanging="1008" w:firstLineChars="0"/>
      <w:outlineLvl w:val="4"/>
    </w:pPr>
    <w:rPr>
      <w:b/>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442"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587"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731"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874" w:hanging="1583" w:firstLineChars="0"/>
      <w:outlineLvl w:val="8"/>
    </w:pPr>
    <w:rPr>
      <w:rFonts w:ascii="Arial" w:hAnsi="Arial" w:eastAsia="黑体"/>
      <w:sz w:val="21"/>
    </w:rPr>
  </w:style>
  <w:style w:type="character" w:default="1" w:styleId="15">
    <w:name w:val="Default Paragraph Font"/>
    <w:semiHidden/>
    <w:unhideWhenUsed/>
    <w:qFormat/>
    <w:uiPriority w:val="1"/>
  </w:style>
  <w:style w:type="table" w:default="1" w:styleId="14">
    <w:name w:val="Normal Table"/>
    <w:semiHidden/>
    <w:qFormat/>
    <w:uiPriority w:val="0"/>
    <w:tblPr>
      <w:tblCellMar>
        <w:top w:w="0" w:type="dxa"/>
        <w:left w:w="108" w:type="dxa"/>
        <w:bottom w:w="0" w:type="dxa"/>
        <w:right w:w="108" w:type="dxa"/>
      </w:tblCellMar>
    </w:tblPr>
  </w:style>
  <w:style w:type="paragraph" w:styleId="11">
    <w:name w:val="toa heading"/>
    <w:basedOn w:val="1"/>
    <w:next w:val="1"/>
    <w:qFormat/>
    <w:uiPriority w:val="0"/>
    <w:pPr>
      <w:spacing w:before="120" w:beforeLines="0" w:beforeAutospacing="0"/>
    </w:pPr>
    <w:rPr>
      <w:rFonts w:ascii="Arial" w:hAnsi="Arial"/>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6">
    <w:name w:val="标题 3 字符"/>
    <w:basedOn w:val="15"/>
    <w:link w:val="2"/>
    <w:qFormat/>
    <w:uiPriority w:val="99"/>
    <w:rPr>
      <w:rFonts w:eastAsia="宋体" w:cstheme="minorBidi"/>
      <w:b/>
      <w:kern w:val="2"/>
      <w:sz w:val="28"/>
      <w:szCs w:val="24"/>
    </w:rPr>
  </w:style>
  <w:style w:type="character" w:customStyle="1" w:styleId="17">
    <w:name w:val="标题 5 字符"/>
    <w:link w:val="6"/>
    <w:qFormat/>
    <w:uiPriority w:val="0"/>
    <w:rPr>
      <w:rFonts w:eastAsia="宋体"/>
      <w:b/>
    </w:rPr>
  </w:style>
  <w:style w:type="character" w:customStyle="1" w:styleId="18">
    <w:name w:val="标题 2 字符"/>
    <w:basedOn w:val="15"/>
    <w:link w:val="4"/>
    <w:qFormat/>
    <w:uiPriority w:val="9"/>
    <w:rPr>
      <w:rFonts w:ascii="Times New Roman" w:hAnsi="Times New Roman" w:eastAsia="黑体" w:cstheme="majorBidi"/>
      <w:b/>
      <w:bCs/>
      <w:kern w:val="0"/>
      <w:sz w:val="30"/>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2023-11-14T01:36:00Z</dcterms:created>
  <dc:creator>Y</dc:creator>
  <cp:lastModifiedBy>自然保护地管理股</cp:lastModifiedBy>
  <dcterms:modified xsi:type="dcterms:W3CDTF">2023-12-07T07:38:37Z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41C23667C5F046EFBF7513BB4813E3E4_11</vt:lpwstr>
  </property>
</Properties>
</file>